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5.619964599609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5238398</wp:posOffset>
            </wp:positionH>
            <wp:positionV relativeFrom="page">
              <wp:posOffset>905737</wp:posOffset>
            </wp:positionV>
            <wp:extent cx="1636776" cy="62582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6258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Health Care Option, PLLC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457.38006591796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11904 Oak Creek Parkway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456.060028076171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Huntley, IL 60142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449.019927978515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847-506-1478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526123046875" w:line="240" w:lineRule="auto"/>
        <w:ind w:left="1458.979949951171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Politicas: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1494140625" w:line="240" w:lineRule="auto"/>
        <w:ind w:left="0" w:right="56.719970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1. Las condiciones que gestionamos y las que no gestionamos se detallan en nuestro sitio web.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95.57087898254395" w:lineRule="auto"/>
        <w:ind w:left="1446.3800048828125" w:right="48.916015625" w:hanging="1.3200378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2. Las cancelaciones solo se aceptan mediante la firma del acuerdo de cancelación a través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DocuSign. Haga clic en la pestaña en la parte inferior del formulario de la política. Las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cancelaciones que generan reembolsos completos en nuevas suscripciones solo se permiten 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mismo día en que se firmaron. Los reembolsos se pagarán dentro de los 30 días por el mismo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método de pago recibido (ACH, tarjeta de crédito). La cancelación de una suscripción implica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que el contrato vigente no se renovará después de su fecha de vencimiento; la cancelación 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es sinónimo de reembolso y significa la no renovación del contrato de suscripción.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363037109375" w:line="295.570764541626" w:lineRule="auto"/>
        <w:ind w:left="1443.9599609375" w:right="0" w:firstLine="5.27999877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3. Los ajustes a la cuota mensual de las suscripciones empresariales, basados en el número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empleados, se realizarán de la siguiente manera: Se pueden añadir empleados el primer día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cada mes; sin embargo, las bajas en la cuota mensual solo se realizan al inicio de cada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trimestre fiscal: el 1 de enero, el 1 de abril, el 1 de julio y el 1 de octubre.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1f"/>
          <w:sz w:val="22"/>
          <w:szCs w:val="22"/>
          <w:u w:val="single"/>
          <w:shd w:fill="f8f9fa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se realizarán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reembolsos si los empleados finalizan su contrato antes de que termine su período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suscripción.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375244140625" w:line="295.57079315185547" w:lineRule="auto"/>
        <w:ind w:left="1446.820068359375" w:right="162.9541015625" w:hanging="3.96011352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4 La comunicación entre el proveedor y el paciente se puede recibir a través de Epic las 24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horas del día, los 7 días de la semana, incluidos los festivos. Sin embargo, la oficina del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proveedor está abierta de 9:00 a. m. a 5:00 p. m. (hora del este de EE. UU.) y, si se recibe un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mensaje fuera del horario de oficina, la respuesta puede tardar hasta las 10:00 a. m. del día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siguiente. El asesoramiento clínico o los tratamientos pueden enviarse por mensaje, correo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electrónico, llamada telefónica o una combinación de los tres, según el criterio del proveedor 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la evaluación de la urgencia.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363037109375" w:line="295.57087898254395" w:lineRule="auto"/>
        <w:ind w:left="1447.4800109863281" w:right="158.226318359375" w:firstLine="1.75994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5. La política de prescripciones provisionales se basa en la discreción del proveedor. Esto 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debe a la creencia de que la telemedicina tiene limitaciones en cuanto a su capacidad para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diagnosticar afecciones sin una consulta presencial. Por lo tanto, si después de 2 o 3 días una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prescripción no produce los resultados deseados, por el bien de la seguridad del paciente,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recomendamos una reevaluación presencial por parte de un médico, quien podrá decidir si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continuar con la prescripción o emitir una alternativa.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5.57042121887207" w:lineRule="auto"/>
        <w:ind w:left="1448.5800170898438" w:right="224.033203125" w:hanging="0.2200317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6. Las prescripciones de mantenimiento se emiten en cuotas de 90 días. En la mayoría de los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casos, no emitimos prescripciones más largas debido a cambios en las condiciones médicas.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369140625" w:line="295.5709648132324" w:lineRule="auto"/>
        <w:ind w:left="1447.9200744628906" w:right="318.17138671875" w:firstLine="2.41989135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7. Los requisitos de análisis de laboratorio existen para garantizar la seguridad de los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pacientes. El requisito habitual es que los análisis se hayan realizado dentro de los 6 meses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posteriores a la emisión de una prescripción (de mantenimiento u otro tipo). Haremos todo lo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posible para obtener estos registros a través de Care Everywhere de Epic. Si no es posible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acceder a ellos, el paciente tendrá 3 opciones: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369140625" w:line="295.57042121887207" w:lineRule="auto"/>
        <w:ind w:left="1443.9599609375" w:right="65.2685546875" w:firstLine="12.98004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Puede obtener los informes de laboratorio y enviárselos por correo electrónico, o bien, puede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acudir a Labcorp y solicitarlos a los precios publicados, que deben pagarse por adelantado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través de nuestro sitio web. También puede acudir a otro lugar para sus análisis de laboratorio,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pero la responsabilidad de proporcionarnos los resultados, así como el costo, es suya. Una vez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pagado por adelantado el trabajo de laboratorio, no hay reembolsos.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38134765625" w:line="295.57079315185547" w:lineRule="auto"/>
        <w:ind w:left="1443.9599609375" w:right="138.26416015625" w:firstLine="5.0599670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8. Resurtido de recetas: cada solicitud en un día determinado genera un copago prepagado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través de nuestro sitio web. No hay límite en la cantidad de recetas emitidas por día. Sin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embargo, si las recetas se surten en diferentes días calendario, se aplican copagos separados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para cada día.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5206298828125" w:line="308.49841117858887" w:lineRule="auto"/>
        <w:ind w:left="1454.9600219726562" w:right="25.19775390625" w:hanging="4.17999267578125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9. Las recetas de medicamentos para el estilo de vida (disfunción eréctil) solo se pueden surtir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por 30 días a discreción del proveedor y tienen algunas restricciones según el historial cardíaco.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Las recetas de medicamentos para bajar de peso requieren consultas electrónicas mensuales y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registros de peso informados por el paciente.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437255859375" w:line="308.49841117858887" w:lineRule="auto"/>
        <w:ind w:left="1450.1199340820312" w:right="202.452392578125" w:firstLine="8.140106201171875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10. Las autorizaciones previas y los formularios escolares se completan únicamente a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discreción del proveedor y suelen requerir un pago anticipado de entre $25.00 y $40.00, según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la compañía de seguros. A discreción del proveedor, se pueden recetar medicamentos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alternativos en lugar de completar la autorización previa para el medicamento solicitado.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43695068359375" w:line="308.49806785583496" w:lineRule="auto"/>
        <w:ind w:left="1440.8799743652344" w:right="42.470703125" w:firstLine="17.38006591796875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11. Requisitos de suscripción de recetas de 90 días. Si se desea una receta de 90 días, se debe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tener vigente una suscripción prepaga para los 90 días posteriores para que el proveedor pueda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abordar cualquier problema que pueda surgir durante el período de la receta.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437255859375" w:line="308.49846839904785" w:lineRule="auto"/>
        <w:ind w:left="1443.5200500488281" w:right="189.31396484375" w:firstLine="14.739990234375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12. Política de registro de tarjetas de crédito/débito: las tarjetas de crédito solo se registran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para el pago de la suscripción mensual, no para el copago de las consultas electrónicas. Cada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vez que se solicita una visita con un proveedor, la información de la tarjeta de crédito debe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f8f9fa" w:val="clear"/>
          <w:vertAlign w:val="baseline"/>
          <w:rtl w:val="0"/>
        </w:rPr>
        <w:t xml:space="preserve">ingresarse a través del portal de pago Calendly/Stripe.</w:t>
      </w:r>
    </w:p>
    <w:sectPr>
      <w:pgSz w:h="15840" w:w="12240" w:orient="portrait"/>
      <w:pgMar w:bottom="0" w:top="1426.357421875" w:left="0" w:right="1410.5541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